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7" w:before="567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Procès verbal de l'assemblée générale extraordinaire d'une association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Description 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L'assemblée générale extraordinaire (AGE) d'une association a pour rôle de statuer sur des questions importantes : modification des statuts, dissolution de l'association, etc. Les compétences de l'assemblée générale extraordinaire sont déterminées par les statuts.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déroulement de l'assemblée générale extraordinaire doit être retranscrit par écrit, pour constituer une preuve de la régularité des délibérations adoptées : il s'agit du procès-verbal de l'assemblée générale extraordinaire de l'association.</w:t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Notice 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Auteur du PV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le procès-verbal d'assemblée est rédigé par le secrétaire de séance, et signé par lui et par le président de l'association.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88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 du PV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le procès-verbal d'assemblée doit être le plus précis possible ; il contient 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nom de l'association, la date, l'heure et le lieu de l'AGE 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88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modalités de convocation préalable à l'AGE 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88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nombre de membres présents et représentés 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88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l'ordre du jour et le résumé des débats 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88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délibérations soumises au vote, le mode de scrutin et les résultats des votes 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88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l'heure de clôture de la séance.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PV est conservé au siège social de l'association, accompagné d'une feuille de présence signée par tous les membres présents lors de l'assemblée générale extraordinaire.</w:t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7" w:before="567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Procès-verbal de l'assemblée générale extraordinaire du 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"/>
          <w:szCs w:val="56"/>
          <w:u w:val="none"/>
          <w:shd w:fill="auto" w:val="clear"/>
          <w:vertAlign w:val="baseline"/>
          <w:rtl w:val="0"/>
        </w:rPr>
        <w:t xml:space="preserve">date de l'AGE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mc:AlternateContent>
          <mc:Choice Requires="wpg"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column">
                  <wp:posOffset>-3809</wp:posOffset>
                </wp:positionH>
                <wp:positionV relativeFrom="paragraph">
                  <wp:posOffset>9216390</wp:posOffset>
                </wp:positionV>
                <wp:extent cx="6849110" cy="1098550"/>
                <wp:effectExtent b="0" l="0" r="0" t="0"/>
                <wp:wrapSquare wrapText="bothSides" distB="72390" distT="72390" distL="72390" distR="7239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26208" y="3235488"/>
                          <a:ext cx="683958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 HYPERLINK "http://www.comprendrechoisir.com/"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column">
                  <wp:posOffset>-3809</wp:posOffset>
                </wp:positionH>
                <wp:positionV relativeFrom="paragraph">
                  <wp:posOffset>9216390</wp:posOffset>
                </wp:positionV>
                <wp:extent cx="6849110" cy="1098550"/>
                <wp:effectExtent b="0" l="0" r="0" t="0"/>
                <wp:wrapSquare wrapText="bothSides" distB="72390" distT="72390" distL="72390" distR="7239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9110" cy="1098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Association 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nom de l'association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Domiciliée au 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adresse de l'association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membres de l'association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 de l'association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se sont réunis en assemblée générale extraordinaire le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date de l'AGE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à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heure de l'AGE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au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lieu de l'AGE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sur convocation préalablement adressée par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lettre recommandée AR / remise en main propre / affichage / courrier électronique / 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le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date de la convocation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par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auteur de la convocation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dans les formes et délai conformes aux dispositions statutaires.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Nombre de membres présents ou représentés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membres étaient présents ou représentés, sur un total de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nombre total de membres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membres de l'association ; conformément aux conditions de quorum mentionnées dans les statuts, l'assemblée générale extraordinaire peut donc valablement délibérer. Une feuille de présence est annexée au présent procès-verbal.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L'assemblée générale extraordinaire est présidée par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Madame/Monsieur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 du président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en sa qualité de président de l'association.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président rappelle que l'assemblée générale extraordinaire est appelée à délibérer sur l'ordre du jour suivant :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modification des statuts / dissolution de l'association / 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président fait état des motifs à l'origine de cette proposition, et communique à l'assemblée les documents utiles ; le débat s'ouvre :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faire un compte rendu des débats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 terme des débats, le président propose à l'assemblée de voter les résolutions suivantes :</w:t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Première résolution : 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modification des statuts / dissolution de l'association / 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L'assemblée générale, après en avoir délibéré, décide de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indiquer la résolution de manière précise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Mise au vote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à bulletin secret / à main levée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cette résolution est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adoptée / rejetée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à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nombre de voix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voix contre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nombre de voix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Deuxième résolution : 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séance est levée à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heure de fin de l'AGE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 le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date du PV d'AGE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à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lieu du PV d'AGE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2.0" w:type="dxa"/>
        <w:jc w:val="left"/>
        <w:tblInd w:w="0.0" w:type="dxa"/>
        <w:tblLayout w:type="fixed"/>
        <w:tblLook w:val="0000"/>
      </w:tblPr>
      <w:tblGrid>
        <w:gridCol w:w="5446"/>
        <w:gridCol w:w="5446"/>
        <w:tblGridChange w:id="0">
          <w:tblGrid>
            <w:gridCol w:w="5446"/>
            <w:gridCol w:w="544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président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28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 &amp; Prénom du président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28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secrétaire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28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 &amp; Prénom du secrétaire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28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2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2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2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2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2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2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FR"/>
      </w:rPr>
    </w:rPrDefault>
    <w:pPrDefault>
      <w:pPr>
        <w:spacing w:after="12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