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560"/>
          <w:tab w:val="left" w:pos="1985"/>
          <w:tab w:val="left" w:pos="5245"/>
        </w:tabs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560"/>
          <w:tab w:val="left" w:pos="1985"/>
          <w:tab w:val="left" w:pos="5245"/>
        </w:tabs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560"/>
          <w:tab w:val="left" w:pos="1985"/>
          <w:tab w:val="left" w:pos="5245"/>
        </w:tabs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Logo                                                                                                                                   Date</w:t>
      </w:r>
    </w:p>
    <w:p w:rsidR="00000000" w:rsidDel="00000000" w:rsidP="00000000" w:rsidRDefault="00000000" w:rsidRPr="00000000" w14:paraId="00000004">
      <w:pPr>
        <w:tabs>
          <w:tab w:val="left" w:pos="1560"/>
          <w:tab w:val="left" w:pos="1985"/>
          <w:tab w:val="left" w:pos="5245"/>
        </w:tabs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560"/>
          <w:tab w:val="left" w:pos="1985"/>
          <w:tab w:val="left" w:pos="5245"/>
        </w:tabs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Rule="auto"/>
        <w:ind w:firstLine="652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Numéro de Devis</w:t>
      </w:r>
    </w:p>
    <w:p w:rsidR="00000000" w:rsidDel="00000000" w:rsidP="00000000" w:rsidRDefault="00000000" w:rsidRPr="00000000" w14:paraId="00000007">
      <w:pPr>
        <w:spacing w:after="0" w:lineRule="auto"/>
        <w:ind w:hanging="56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Nom de l’entreprise</w:t>
      </w:r>
    </w:p>
    <w:p w:rsidR="00000000" w:rsidDel="00000000" w:rsidP="00000000" w:rsidRDefault="00000000" w:rsidRPr="00000000" w14:paraId="00000008">
      <w:pPr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Adresse</w:t>
      </w:r>
    </w:p>
    <w:p w:rsidR="00000000" w:rsidDel="00000000" w:rsidP="00000000" w:rsidRDefault="00000000" w:rsidRPr="00000000" w14:paraId="00000009">
      <w:pPr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Code Postal et Ville</w:t>
      </w:r>
    </w:p>
    <w:p w:rsidR="00000000" w:rsidDel="00000000" w:rsidP="00000000" w:rsidRDefault="00000000" w:rsidRPr="00000000" w14:paraId="0000000A">
      <w:pPr>
        <w:spacing w:after="0" w:lineRule="auto"/>
        <w:ind w:right="2126"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Numéro de téléphone</w:t>
      </w:r>
    </w:p>
    <w:p w:rsidR="00000000" w:rsidDel="00000000" w:rsidP="00000000" w:rsidRDefault="00000000" w:rsidRPr="00000000" w14:paraId="0000000B">
      <w:pPr>
        <w:spacing w:after="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</w:t>
      </w:r>
    </w:p>
    <w:p w:rsidR="00000000" w:rsidDel="00000000" w:rsidP="00000000" w:rsidRDefault="00000000" w:rsidRPr="00000000" w14:paraId="0000000C">
      <w:pPr>
        <w:spacing w:after="0" w:lineRule="auto"/>
        <w:ind w:firstLine="652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Nom du client</w:t>
      </w:r>
    </w:p>
    <w:p w:rsidR="00000000" w:rsidDel="00000000" w:rsidP="00000000" w:rsidRDefault="00000000" w:rsidRPr="00000000" w14:paraId="0000000D">
      <w:pPr>
        <w:spacing w:after="0" w:lineRule="auto"/>
        <w:ind w:firstLine="652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Adresse</w:t>
      </w:r>
    </w:p>
    <w:p w:rsidR="00000000" w:rsidDel="00000000" w:rsidP="00000000" w:rsidRDefault="00000000" w:rsidRPr="00000000" w14:paraId="0000000E">
      <w:pPr>
        <w:spacing w:after="0" w:lineRule="auto"/>
        <w:ind w:firstLine="652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Code Postal et Ville</w:t>
      </w:r>
    </w:p>
    <w:p w:rsidR="00000000" w:rsidDel="00000000" w:rsidP="00000000" w:rsidRDefault="00000000" w:rsidRPr="00000000" w14:paraId="0000000F">
      <w:pPr>
        <w:spacing w:after="0" w:lineRule="auto"/>
        <w:ind w:firstLine="652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Numéro de téléphone</w:t>
      </w:r>
    </w:p>
    <w:p w:rsidR="00000000" w:rsidDel="00000000" w:rsidP="00000000" w:rsidRDefault="00000000" w:rsidRPr="00000000" w14:paraId="00000010">
      <w:pPr>
        <w:spacing w:after="0" w:lineRule="auto"/>
        <w:ind w:firstLine="652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</w:t>
      </w:r>
    </w:p>
    <w:p w:rsidR="00000000" w:rsidDel="00000000" w:rsidP="00000000" w:rsidRDefault="00000000" w:rsidRPr="00000000" w14:paraId="00000011">
      <w:pPr>
        <w:spacing w:after="0" w:lineRule="auto"/>
        <w:ind w:firstLine="6521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-56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Objet : intitulé</w:t>
      </w:r>
    </w:p>
    <w:p w:rsidR="00000000" w:rsidDel="00000000" w:rsidP="00000000" w:rsidRDefault="00000000" w:rsidRPr="00000000" w14:paraId="00000013">
      <w:pPr>
        <w:spacing w:after="0" w:lineRule="auto"/>
        <w:ind w:hanging="142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1.0" w:type="dxa"/>
        <w:jc w:val="left"/>
        <w:tblBorders>
          <w:top w:color="8ed9c7" w:space="0" w:sz="4" w:val="single"/>
          <w:left w:color="8ed9c7" w:space="0" w:sz="4" w:val="single"/>
          <w:bottom w:color="8ed9c7" w:space="0" w:sz="4" w:val="single"/>
          <w:right w:color="8ed9c7" w:space="0" w:sz="4" w:val="single"/>
          <w:insideH w:color="8ed9c7" w:space="0" w:sz="4" w:val="single"/>
          <w:insideV w:color="8ed9c7" w:space="0" w:sz="4" w:val="single"/>
        </w:tblBorders>
        <w:tblLayout w:type="fixed"/>
        <w:tblLook w:val="04A0"/>
      </w:tblPr>
      <w:tblGrid>
        <w:gridCol w:w="4096"/>
        <w:gridCol w:w="874"/>
        <w:gridCol w:w="1376"/>
        <w:gridCol w:w="1867"/>
        <w:gridCol w:w="871"/>
        <w:gridCol w:w="1837"/>
        <w:tblGridChange w:id="0">
          <w:tblGrid>
            <w:gridCol w:w="4096"/>
            <w:gridCol w:w="874"/>
            <w:gridCol w:w="1376"/>
            <w:gridCol w:w="1867"/>
            <w:gridCol w:w="871"/>
            <w:gridCol w:w="1837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Unité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Quantité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Prix Unitaire HT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TVA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Total HT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Licence KPulse pour 1 utilisateur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39.90 €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20 %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39.90 €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ind w:left="-56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-56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hanging="14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hanging="142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969.0" w:type="dxa"/>
        <w:jc w:val="left"/>
        <w:tblBorders>
          <w:top w:color="8ed9c7" w:space="0" w:sz="4" w:val="single"/>
          <w:left w:color="8ed9c7" w:space="0" w:sz="4" w:val="single"/>
          <w:bottom w:color="8ed9c7" w:space="0" w:sz="4" w:val="single"/>
          <w:right w:color="8ed9c7" w:space="0" w:sz="4" w:val="single"/>
          <w:insideH w:color="8ed9c7" w:space="0" w:sz="4" w:val="single"/>
          <w:insideV w:color="8ed9c7" w:space="0" w:sz="4" w:val="single"/>
        </w:tblBorders>
        <w:tblLayout w:type="fixed"/>
        <w:tblLook w:val="04A0"/>
      </w:tblPr>
      <w:tblGrid>
        <w:gridCol w:w="2279"/>
        <w:gridCol w:w="1690"/>
        <w:tblGridChange w:id="0">
          <w:tblGrid>
            <w:gridCol w:w="2279"/>
            <w:gridCol w:w="1690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Montant Total HT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Remise 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 Net 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 TVA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Montant Total TTC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i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hanging="14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67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loi n°92/1442 du 31 décembre 1992 nous fait l’obligation de vous indiquer que le non-respect des conditions de paiement entraine des intérêts de retard suivant modalités et taux défini par la loi. Une indemnité forfaitaire de 40€ sera due pour frais de recouvrement en cas de retard de paiement.</w:t>
      </w:r>
    </w:p>
    <w:p w:rsidR="00000000" w:rsidDel="00000000" w:rsidP="00000000" w:rsidRDefault="00000000" w:rsidRPr="00000000" w14:paraId="00000068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6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de règlement : </w:t>
      </w:r>
    </w:p>
    <w:p w:rsidR="00000000" w:rsidDel="00000000" w:rsidP="00000000" w:rsidRDefault="00000000" w:rsidRPr="00000000" w14:paraId="0000006A">
      <w:pPr>
        <w:spacing w:after="6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Conditions de règlement :</w:t>
      </w:r>
    </w:p>
    <w:p w:rsidR="00000000" w:rsidDel="00000000" w:rsidP="00000000" w:rsidRDefault="00000000" w:rsidRPr="00000000" w14:paraId="0000006B">
      <w:pPr>
        <w:spacing w:after="60" w:lineRule="auto"/>
        <w:ind w:hanging="567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2007398</wp:posOffset>
                </wp:positionH>
                <wp:positionV relativeFrom="page">
                  <wp:posOffset>9529950</wp:posOffset>
                </wp:positionV>
                <wp:extent cx="2294255" cy="24765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3635" y="3660938"/>
                          <a:ext cx="22847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Nom de l’entreprise et adresse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2007398</wp:posOffset>
                </wp:positionH>
                <wp:positionV relativeFrom="page">
                  <wp:posOffset>9529950</wp:posOffset>
                </wp:positionV>
                <wp:extent cx="2294255" cy="247650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25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8"/>
          <w:szCs w:val="18"/>
          <w:rtl w:val="0"/>
        </w:rPr>
        <w:t xml:space="preserve">Date limite de règlement :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576" w:left="864" w:right="864" w:header="504.5669291338583" w:footer="504.56692913385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  <w:font w:name="Franklin Gothic">
    <w:embedBold w:fontKey="{00000000-0000-0000-0000-000000000000}" r:id="rId1" w:subsetted="0"/>
  </w:font>
  <w:font w:name="Book Antiqu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8559800</wp:posOffset>
              </wp:positionV>
              <wp:extent cx="7983093" cy="272529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10800000">
                        <a:off x="1359216" y="2422116"/>
                        <a:ext cx="7973568" cy="2715768"/>
                      </a:xfrm>
                      <a:custGeom>
                        <a:rect b="b" l="l" r="r" t="t"/>
                        <a:pathLst>
                          <a:path extrusionOk="0" h="2906395" w="7738110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9CDFBD"/>
                          </a:gs>
                          <a:gs pos="100000">
                            <a:srgbClr val="4EB3CE"/>
                          </a:gs>
                        </a:gsLst>
                        <a:lin ang="192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8559800</wp:posOffset>
              </wp:positionV>
              <wp:extent cx="7983093" cy="272529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3093" cy="27252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12" w:lineRule="auto"/>
      <w:ind w:left="0" w:right="0" w:firstLine="0"/>
      <w:jc w:val="left"/>
      <w:rPr>
        <w:color w:val="262626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jc w:val="both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jc w:val="both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color w:val="26262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jc w:val="both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right"/>
    </w:pPr>
    <w:rPr>
      <w:rFonts w:ascii="Book Antiqua" w:cs="Book Antiqua" w:eastAsia="Book Antiqua" w:hAnsi="Book Antiqua"/>
      <w:smallCaps w:val="1"/>
      <w:color w:val="0d0d0d"/>
      <w:sz w:val="18"/>
      <w:szCs w:val="18"/>
    </w:rPr>
  </w:style>
  <w:style w:type="paragraph" w:styleId="Heading2">
    <w:name w:val="heading 2"/>
    <w:basedOn w:val="Normal"/>
    <w:next w:val="Normal"/>
    <w:pPr>
      <w:spacing w:after="20" w:before="60" w:line="312" w:lineRule="auto"/>
      <w:jc w:val="right"/>
    </w:pPr>
    <w:rPr>
      <w:rFonts w:ascii="Book Antiqua" w:cs="Book Antiqua" w:eastAsia="Book Antiqua" w:hAnsi="Book Antiqua"/>
      <w:color w:val="262626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312" w:lineRule="auto"/>
    </w:pPr>
    <w:rPr>
      <w:rFonts w:ascii="Book Antiqua" w:cs="Book Antiqua" w:eastAsia="Book Antiqua" w:hAnsi="Book Antiqua"/>
      <w:color w:val="07854e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312" w:lineRule="auto"/>
    </w:pPr>
    <w:rPr>
      <w:rFonts w:ascii="Book Antiqua" w:cs="Book Antiqua" w:eastAsia="Book Antiqua" w:hAnsi="Book Antiqua"/>
      <w:i w:val="1"/>
      <w:color w:val="07864e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312" w:lineRule="auto"/>
    </w:pPr>
    <w:rPr>
      <w:rFonts w:ascii="Book Antiqua" w:cs="Book Antiqua" w:eastAsia="Book Antiqua" w:hAnsi="Book Antiqua"/>
      <w:b w:val="1"/>
      <w:i w:val="1"/>
      <w:color w:val="262626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312" w:lineRule="auto"/>
    </w:pPr>
    <w:rPr>
      <w:rFonts w:ascii="Book Antiqua" w:cs="Book Antiqua" w:eastAsia="Book Antiqua" w:hAnsi="Book Antiqua"/>
      <w:color w:val="07854e"/>
      <w:sz w:val="18"/>
      <w:szCs w:val="18"/>
    </w:rPr>
  </w:style>
  <w:style w:type="paragraph" w:styleId="Title">
    <w:name w:val="Title"/>
    <w:basedOn w:val="Normal"/>
    <w:next w:val="Normal"/>
    <w:pPr>
      <w:spacing w:after="0" w:before="80" w:line="312" w:lineRule="auto"/>
      <w:ind w:left="86"/>
    </w:pPr>
    <w:rPr>
      <w:rFonts w:ascii="Franklin Gothic" w:cs="Franklin Gothic" w:eastAsia="Franklin Gothic" w:hAnsi="Franklin Gothic"/>
      <w:smallCaps w:val="1"/>
      <w:color w:val="fffff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" w:before="60" w:line="240" w:lineRule="auto"/>
    </w:pPr>
    <w:rPr>
      <w:rFonts w:ascii="Arial" w:cs="Arial" w:eastAsia="Arial" w:hAnsi="Arial"/>
      <w:b w:val="1"/>
      <w:color w:val="30927b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f2ec" w:val="clear"/>
      </w:tcPr>
    </w:tblStylePr>
    <w:tblStylePr w:type="band1Vert">
      <w:tcPr>
        <w:shd w:fill="d9f2e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44c1a3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c1a3" w:space="0" w:sz="4" w:val="single"/>
        </w:tcBorders>
      </w:tcPr>
    </w:tblStylePr>
  </w:style>
  <w:style w:type="table" w:styleId="Table2">
    <w:basedOn w:val="TableNormal"/>
    <w:pPr>
      <w:spacing w:after="20" w:before="60" w:line="240" w:lineRule="auto"/>
    </w:pPr>
    <w:rPr>
      <w:rFonts w:ascii="Arial" w:cs="Arial" w:eastAsia="Arial" w:hAnsi="Arial"/>
      <w:b w:val="1"/>
      <w:color w:val="30927b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f2ec" w:val="clear"/>
      </w:tcPr>
    </w:tblStylePr>
    <w:tblStylePr w:type="band1Vert">
      <w:tcPr>
        <w:shd w:fill="d9f2ec" w:val="clear"/>
      </w:tcPr>
    </w:tblStylePr>
    <w:tblStylePr w:type="firstCol">
      <w:pPr>
        <w:jc w:val="right"/>
      </w:pPr>
      <w:rPr>
        <w:i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i w:val="1"/>
      </w:r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bottom w:color="8ed9c7" w:space="0" w:sz="4" w:val="single"/>
        </w:tcBorders>
      </w:tcPr>
    </w:tblStylePr>
    <w:tblStylePr w:type="nwCell">
      <w:tcPr>
        <w:tcBorders>
          <w:bottom w:color="8ed9c7" w:space="0" w:sz="4" w:val="single"/>
        </w:tcBorders>
      </w:tcPr>
    </w:tblStylePr>
    <w:tblStylePr w:type="seCell">
      <w:tcPr>
        <w:tcBorders>
          <w:top w:color="8ed9c7" w:space="0" w:sz="4" w:val="single"/>
        </w:tcBorders>
      </w:tcPr>
    </w:tblStylePr>
    <w:tblStylePr w:type="swCell">
      <w:tcPr>
        <w:tcBorders>
          <w:top w:color="8ed9c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BookAntiqua-regular.ttf"/><Relationship Id="rId3" Type="http://schemas.openxmlformats.org/officeDocument/2006/relationships/font" Target="fonts/BookAntiqua-bold.ttf"/><Relationship Id="rId4" Type="http://schemas.openxmlformats.org/officeDocument/2006/relationships/font" Target="fonts/BookAntiqua-italic.ttf"/><Relationship Id="rId5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